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DA" w:rsidRDefault="003F341B">
      <w:pPr>
        <w:pStyle w:val="a4"/>
        <w:spacing w:line="480" w:lineRule="exact"/>
        <w:rPr>
          <w:rFonts w:ascii="Times New Roman" w:eastAsia="黑体" w:hAnsi="Times New Roman" w:cs="Times New Roman"/>
          <w:bCs/>
          <w:sz w:val="32"/>
        </w:rPr>
      </w:pPr>
      <w:r>
        <w:rPr>
          <w:rFonts w:ascii="Times New Roman" w:eastAsia="黑体" w:hAnsi="Times New Roman" w:cs="Times New Roman"/>
          <w:bCs/>
          <w:sz w:val="32"/>
          <w:lang w:val="en-US"/>
        </w:rPr>
        <w:t>附件</w:t>
      </w:r>
      <w:r w:rsidR="00180160">
        <w:rPr>
          <w:rFonts w:ascii="Times New Roman" w:eastAsia="黑体" w:hAnsi="Times New Roman" w:cs="Times New Roman" w:hint="eastAsia"/>
          <w:bCs/>
          <w:sz w:val="32"/>
          <w:lang w:val="en-US"/>
        </w:rPr>
        <w:t>1</w:t>
      </w:r>
    </w:p>
    <w:p w:rsidR="00AC45DA" w:rsidRDefault="00E32620">
      <w:pPr>
        <w:pStyle w:val="a4"/>
        <w:spacing w:beforeLines="100" w:before="240" w:afterLines="100" w:after="240" w:line="4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val="en-US"/>
        </w:rPr>
        <w:t>宿州市</w:t>
      </w:r>
      <w:r w:rsidR="003F341B">
        <w:rPr>
          <w:rFonts w:ascii="Times New Roman" w:hAnsi="Times New Roman" w:cs="Times New Roman"/>
          <w:b/>
          <w:bCs/>
          <w:sz w:val="36"/>
          <w:szCs w:val="36"/>
        </w:rPr>
        <w:t>城区</w:t>
      </w:r>
      <w:r w:rsidR="00772B5E">
        <w:rPr>
          <w:rFonts w:ascii="Times New Roman" w:hAnsi="Times New Roman" w:cs="Times New Roman" w:hint="eastAsia"/>
          <w:b/>
          <w:bCs/>
          <w:sz w:val="36"/>
          <w:szCs w:val="36"/>
        </w:rPr>
        <w:t>土地</w:t>
      </w:r>
      <w:r w:rsidR="003F341B">
        <w:rPr>
          <w:rFonts w:ascii="Times New Roman" w:hAnsi="Times New Roman" w:cs="Times New Roman"/>
          <w:b/>
          <w:bCs/>
          <w:sz w:val="36"/>
          <w:szCs w:val="36"/>
        </w:rPr>
        <w:t>定级与基准地价更新成果</w:t>
      </w:r>
    </w:p>
    <w:p w:rsidR="00AC45DA" w:rsidRPr="00772B5E" w:rsidRDefault="003F341B" w:rsidP="00772B5E">
      <w:pPr>
        <w:pStyle w:val="a4"/>
        <w:spacing w:line="480" w:lineRule="exact"/>
        <w:rPr>
          <w:rFonts w:ascii="楷体" w:eastAsia="楷体" w:hAnsi="楷体" w:cs="Times New Roman"/>
          <w:b/>
          <w:bCs/>
          <w:sz w:val="32"/>
        </w:rPr>
      </w:pPr>
      <w:r w:rsidRPr="00772B5E">
        <w:rPr>
          <w:rFonts w:ascii="楷体" w:eastAsia="楷体" w:hAnsi="楷体" w:cs="Times New Roman"/>
          <w:b/>
          <w:bCs/>
          <w:sz w:val="32"/>
          <w:lang w:val="en-US"/>
        </w:rPr>
        <w:t>一、</w:t>
      </w:r>
      <w:r w:rsidRPr="00772B5E">
        <w:rPr>
          <w:rFonts w:ascii="楷体" w:eastAsia="楷体" w:hAnsi="楷体" w:cs="Times New Roman"/>
          <w:b/>
          <w:bCs/>
          <w:sz w:val="32"/>
        </w:rPr>
        <w:t>基准地价内涵</w:t>
      </w:r>
    </w:p>
    <w:p w:rsidR="00AC45DA" w:rsidRDefault="003F341B">
      <w:pPr>
        <w:pStyle w:val="ad"/>
        <w:rPr>
          <w:rFonts w:eastAsia="仿宋_GB2312"/>
          <w:bCs w:val="0"/>
          <w:kern w:val="2"/>
          <w:sz w:val="32"/>
          <w:szCs w:val="22"/>
        </w:rPr>
      </w:pPr>
      <w:r>
        <w:rPr>
          <w:rFonts w:eastAsia="仿宋_GB2312"/>
          <w:bCs w:val="0"/>
          <w:kern w:val="2"/>
          <w:sz w:val="32"/>
          <w:szCs w:val="22"/>
        </w:rPr>
        <w:t>表</w:t>
      </w:r>
      <w:r>
        <w:rPr>
          <w:rFonts w:eastAsia="仿宋_GB2312"/>
          <w:bCs w:val="0"/>
          <w:kern w:val="2"/>
          <w:sz w:val="32"/>
          <w:szCs w:val="22"/>
        </w:rPr>
        <w:t xml:space="preserve">1  </w:t>
      </w:r>
      <w:r w:rsidR="00E32620">
        <w:rPr>
          <w:rFonts w:eastAsia="仿宋_GB2312" w:hint="eastAsia"/>
          <w:bCs w:val="0"/>
          <w:kern w:val="2"/>
          <w:sz w:val="32"/>
          <w:szCs w:val="22"/>
        </w:rPr>
        <w:t>宿州市</w:t>
      </w:r>
      <w:r>
        <w:rPr>
          <w:rFonts w:eastAsia="仿宋_GB2312"/>
          <w:bCs w:val="0"/>
          <w:kern w:val="2"/>
          <w:sz w:val="32"/>
          <w:szCs w:val="22"/>
        </w:rPr>
        <w:t>城区基准地价内涵设定表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178"/>
      </w:tblGrid>
      <w:tr w:rsidR="00AC45DA">
        <w:trPr>
          <w:trHeight w:val="340"/>
          <w:tblHeader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内容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基准地价内涵</w:t>
            </w:r>
          </w:p>
        </w:tc>
      </w:tr>
      <w:tr w:rsidR="00AC45DA">
        <w:trPr>
          <w:trHeight w:val="340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估价期日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</w:tc>
      </w:tr>
      <w:tr w:rsidR="00AC45DA">
        <w:trPr>
          <w:trHeight w:val="340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土地利用类型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 w:rsidP="00E32620">
            <w:pPr>
              <w:pStyle w:val="a4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商业服务业用地：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商业用地、娱乐用地、商务金融用地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、其他商业服务业用地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城镇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住宅用地；工业用地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；仓储用地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；公共管理与公共服务用地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（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医疗卫生用地、社会福利用地、文化用地、体育用地、教育用地、科研用地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）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；公用设施用地</w:t>
            </w:r>
          </w:p>
        </w:tc>
      </w:tr>
      <w:tr w:rsidR="00AC45DA">
        <w:trPr>
          <w:trHeight w:val="594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土地使用年期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商业服务业用地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40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年；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城镇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住宅用地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70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年；工业用地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、仓储用地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公共管理与公共服务用地、公用设施用地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50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年。</w:t>
            </w:r>
          </w:p>
        </w:tc>
      </w:tr>
      <w:tr w:rsidR="00AC45DA">
        <w:trPr>
          <w:trHeight w:val="340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土地开发程度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商业服务业用地：一至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三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级地六通一平；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四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至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六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级地五通一平；</w:t>
            </w:r>
          </w:p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城镇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住宅用地：一级地六通一平；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二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至六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级地五通一平；</w:t>
            </w:r>
          </w:p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工业用地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、仓储用地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：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一至二级地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五通一平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；</w:t>
            </w:r>
          </w:p>
          <w:p w:rsidR="00AC45DA" w:rsidRDefault="003F341B" w:rsidP="00E32620">
            <w:pPr>
              <w:pStyle w:val="a4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公共管理与公共服务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、公用设施用地：一级地六通一平；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二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至四级地五通一平。</w:t>
            </w:r>
          </w:p>
        </w:tc>
      </w:tr>
      <w:tr w:rsidR="00AC45DA">
        <w:trPr>
          <w:trHeight w:val="340"/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jc w:val="center"/>
              <w:rPr>
                <w:rFonts w:ascii="Times New Roman" w:eastAsia="仿宋_GB2312" w:hAnsi="Times New Roman" w:cs="Times New Roman"/>
                <w:b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平均容积率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商业服务业用地：一至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六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级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：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2.0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8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1.6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1.6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1.4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1.4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；</w:t>
            </w:r>
          </w:p>
          <w:p w:rsidR="00AC45DA" w:rsidRDefault="00E32620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城镇住宅用地：一至六</w:t>
            </w:r>
            <w:r w:rsidR="003F341B">
              <w:rPr>
                <w:rFonts w:ascii="Times New Roman" w:eastAsia="仿宋_GB2312" w:hAnsi="Times New Roman" w:cs="Times New Roman"/>
                <w:szCs w:val="24"/>
                <w:lang w:val="en-US"/>
              </w:rPr>
              <w:t>级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地</w:t>
            </w:r>
            <w:r w:rsidR="003F341B">
              <w:rPr>
                <w:rFonts w:ascii="Times New Roman" w:eastAsia="仿宋_GB2312" w:hAnsi="Times New Roman" w:cs="Times New Roman"/>
                <w:szCs w:val="24"/>
                <w:lang w:val="en-US"/>
              </w:rPr>
              <w:t>：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2.0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2.0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1.8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1.8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1.6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1.6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；</w:t>
            </w:r>
          </w:p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工业用地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、仓储用地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：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一至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二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级地：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1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.2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；</w:t>
            </w:r>
          </w:p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公共管理与公共服务用地：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1.4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1.3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  <w:lang w:val="en-US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1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；</w:t>
            </w:r>
          </w:p>
          <w:p w:rsidR="00AC45DA" w:rsidRDefault="003F341B">
            <w:pPr>
              <w:pStyle w:val="a4"/>
              <w:rPr>
                <w:rFonts w:ascii="Times New Roman" w:eastAsia="仿宋_GB2312" w:hAnsi="Times New Roman" w:cs="Times New Roman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公用设施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用地：</w:t>
            </w:r>
            <w:r w:rsidR="00E32620">
              <w:rPr>
                <w:rFonts w:ascii="Times New Roman" w:eastAsia="仿宋_GB2312" w:hAnsi="Times New Roman" w:cs="Times New Roman" w:hint="eastAsia"/>
                <w:szCs w:val="24"/>
                <w:lang w:val="en-US"/>
              </w:rPr>
              <w:t>1</w:t>
            </w:r>
            <w:r w:rsidR="00E32620">
              <w:rPr>
                <w:rFonts w:ascii="Times New Roman" w:eastAsia="仿宋_GB2312" w:hAnsi="Times New Roman" w:cs="Times New Roman"/>
                <w:szCs w:val="24"/>
                <w:lang w:val="en-US"/>
              </w:rPr>
              <w:t>.0.</w:t>
            </w:r>
          </w:p>
        </w:tc>
      </w:tr>
    </w:tbl>
    <w:p w:rsidR="00AC45DA" w:rsidRDefault="003F341B">
      <w:pPr>
        <w:widowControl/>
        <w:jc w:val="left"/>
        <w:rPr>
          <w:rFonts w:ascii="Times New Roman" w:eastAsia="黑体" w:hAnsi="Times New Roman" w:cs="Times New Roman"/>
          <w:bCs/>
          <w:kern w:val="0"/>
          <w:sz w:val="32"/>
          <w:szCs w:val="21"/>
        </w:rPr>
      </w:pPr>
      <w:r>
        <w:rPr>
          <w:rFonts w:ascii="Times New Roman" w:eastAsia="黑体" w:hAnsi="Times New Roman" w:cs="Times New Roman"/>
          <w:bCs/>
          <w:sz w:val="32"/>
        </w:rPr>
        <w:br w:type="page"/>
      </w:r>
    </w:p>
    <w:p w:rsidR="00AC45DA" w:rsidRPr="00772B5E" w:rsidRDefault="003F341B" w:rsidP="00772B5E">
      <w:pPr>
        <w:pStyle w:val="a4"/>
        <w:spacing w:line="480" w:lineRule="exact"/>
        <w:rPr>
          <w:rFonts w:ascii="楷体" w:eastAsia="楷体" w:hAnsi="楷体" w:cs="Times New Roman"/>
          <w:b/>
          <w:bCs/>
          <w:sz w:val="32"/>
          <w:lang w:val="en-US"/>
        </w:rPr>
      </w:pPr>
      <w:r w:rsidRPr="00772B5E">
        <w:rPr>
          <w:rFonts w:ascii="楷体" w:eastAsia="楷体" w:hAnsi="楷体" w:cs="Times New Roman"/>
          <w:b/>
          <w:bCs/>
          <w:sz w:val="32"/>
          <w:lang w:val="en-US"/>
        </w:rPr>
        <w:lastRenderedPageBreak/>
        <w:t>二、基准地价成果</w:t>
      </w:r>
    </w:p>
    <w:p w:rsidR="00AC45DA" w:rsidRPr="003D09B7" w:rsidRDefault="003F341B" w:rsidP="003D09B7">
      <w:pPr>
        <w:pStyle w:val="ad"/>
        <w:rPr>
          <w:rFonts w:eastAsia="仿宋_GB2312"/>
          <w:bCs w:val="0"/>
          <w:kern w:val="2"/>
          <w:sz w:val="32"/>
          <w:szCs w:val="22"/>
        </w:rPr>
      </w:pPr>
      <w:r>
        <w:rPr>
          <w:rFonts w:eastAsia="仿宋_GB2312"/>
          <w:bCs w:val="0"/>
          <w:kern w:val="2"/>
          <w:sz w:val="32"/>
          <w:szCs w:val="22"/>
        </w:rPr>
        <w:t>表</w:t>
      </w:r>
      <w:r>
        <w:rPr>
          <w:rFonts w:eastAsia="仿宋_GB2312" w:hint="eastAsia"/>
          <w:bCs w:val="0"/>
          <w:kern w:val="2"/>
          <w:sz w:val="32"/>
          <w:szCs w:val="22"/>
        </w:rPr>
        <w:t xml:space="preserve">2  </w:t>
      </w:r>
      <w:r w:rsidR="00C4335A">
        <w:rPr>
          <w:rFonts w:eastAsia="仿宋_GB2312" w:hint="eastAsia"/>
          <w:bCs w:val="0"/>
          <w:kern w:val="2"/>
          <w:sz w:val="32"/>
          <w:szCs w:val="22"/>
        </w:rPr>
        <w:t>宿州市</w:t>
      </w:r>
      <w:r>
        <w:rPr>
          <w:rFonts w:eastAsia="仿宋_GB2312"/>
          <w:bCs w:val="0"/>
          <w:kern w:val="2"/>
          <w:sz w:val="32"/>
          <w:szCs w:val="22"/>
        </w:rPr>
        <w:t>城区</w:t>
      </w:r>
      <w:r w:rsidR="00772B5E">
        <w:rPr>
          <w:rFonts w:eastAsia="仿宋_GB2312" w:hint="eastAsia"/>
          <w:bCs w:val="0"/>
          <w:kern w:val="2"/>
          <w:sz w:val="32"/>
          <w:szCs w:val="22"/>
        </w:rPr>
        <w:t>土地</w:t>
      </w:r>
      <w:r w:rsidR="00180160">
        <w:rPr>
          <w:rFonts w:eastAsia="仿宋_GB2312"/>
          <w:bCs w:val="0"/>
          <w:kern w:val="2"/>
          <w:sz w:val="32"/>
          <w:szCs w:val="22"/>
        </w:rPr>
        <w:t>级别与</w:t>
      </w:r>
      <w:r>
        <w:rPr>
          <w:rFonts w:eastAsia="仿宋_GB2312"/>
          <w:bCs w:val="0"/>
          <w:kern w:val="2"/>
          <w:sz w:val="32"/>
          <w:szCs w:val="22"/>
        </w:rPr>
        <w:t>基准地价</w:t>
      </w:r>
      <w:r w:rsidR="00180160">
        <w:rPr>
          <w:rFonts w:eastAsia="仿宋_GB2312" w:hint="eastAsia"/>
          <w:bCs w:val="0"/>
          <w:kern w:val="2"/>
          <w:sz w:val="32"/>
          <w:szCs w:val="22"/>
        </w:rPr>
        <w:t>表</w:t>
      </w:r>
      <w:r w:rsidRPr="00E32620">
        <w:rPr>
          <w:rFonts w:eastAsia="仿宋_GB2312"/>
          <w:szCs w:val="18"/>
        </w:rPr>
        <w:t xml:space="preserve">                                         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254"/>
        <w:gridCol w:w="1218"/>
        <w:gridCol w:w="914"/>
        <w:gridCol w:w="914"/>
        <w:gridCol w:w="914"/>
        <w:gridCol w:w="914"/>
        <w:gridCol w:w="914"/>
        <w:gridCol w:w="884"/>
      </w:tblGrid>
      <w:tr w:rsidR="00E32620" w:rsidTr="00180160">
        <w:trPr>
          <w:trHeight w:val="620"/>
          <w:tblHeader/>
          <w:jc w:val="center"/>
        </w:trPr>
        <w:tc>
          <w:tcPr>
            <w:tcW w:w="2160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620" w:rsidRDefault="00E32620">
            <w:pPr>
              <w:widowControl/>
              <w:spacing w:line="28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0A1CF4" wp14:editId="2D05B4D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-15875</wp:posOffset>
                      </wp:positionV>
                      <wp:extent cx="1283970" cy="563245"/>
                      <wp:effectExtent l="1905" t="4445" r="9525" b="2286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3970" cy="5632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9CA2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.5pt;margin-top:-1.25pt;width:101.1pt;height:4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" strokeweight=".25pt"/>
                  </w:pict>
                </mc:Fallback>
              </mc:AlternateContent>
            </w:r>
            <w:r>
              <w:rPr>
                <w:rFonts w:ascii="Times New Roman" w:eastAsia="仿宋_GB2312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F6E9FA" wp14:editId="717B082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-13970</wp:posOffset>
                      </wp:positionV>
                      <wp:extent cx="2640965" cy="248285"/>
                      <wp:effectExtent l="635" t="4445" r="6350" b="1397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0965" cy="24828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E1EFF" id="直接箭头连接符 3" o:spid="_x0000_s1026" type="#_x0000_t32" style="position:absolute;left:0;text-align:left;margin-left:-.85pt;margin-top:-1.1pt;width:207.95pt;height:1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" strokeweight=".25pt"/>
                  </w:pict>
                </mc:Fallback>
              </mc:AlternateConten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级别</w:t>
            </w:r>
          </w:p>
          <w:p w:rsidR="00E32620" w:rsidRDefault="00E3262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基准地价</w:t>
            </w:r>
          </w:p>
          <w:p w:rsidR="00E32620" w:rsidRDefault="00E32620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用地类型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620" w:rsidRDefault="00E32620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一级地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620" w:rsidRDefault="00E32620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二级地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620" w:rsidRDefault="00E32620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三级地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620" w:rsidRDefault="00E32620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四级地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620" w:rsidRDefault="00E32620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五级地</w:t>
            </w:r>
          </w:p>
        </w:tc>
        <w:tc>
          <w:tcPr>
            <w:tcW w:w="461" w:type="pct"/>
            <w:vAlign w:val="center"/>
          </w:tcPr>
          <w:p w:rsidR="00E32620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六级地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商业服务业用地</w:t>
            </w:r>
          </w:p>
        </w:tc>
        <w:tc>
          <w:tcPr>
            <w:tcW w:w="1172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商业用地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3150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2340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1530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1080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740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540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210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156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102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72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49.33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36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娱乐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3060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2250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1515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1065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735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535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204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150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101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71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49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35.67</w:t>
            </w:r>
          </w:p>
        </w:tc>
      </w:tr>
      <w:tr w:rsidR="00C4335A" w:rsidTr="00C4335A">
        <w:trPr>
          <w:trHeight w:val="125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商务金融用地、其他商业服务业用地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2940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2055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1320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990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675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510</w:t>
            </w:r>
          </w:p>
        </w:tc>
      </w:tr>
      <w:tr w:rsidR="00C4335A" w:rsidTr="00C4335A">
        <w:trPr>
          <w:trHeight w:val="225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196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137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88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66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45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34</w:t>
            </w:r>
          </w:p>
        </w:tc>
      </w:tr>
      <w:tr w:rsidR="00C4335A" w:rsidTr="00C4335A">
        <w:trPr>
          <w:trHeight w:val="90"/>
          <w:jc w:val="center"/>
        </w:trPr>
        <w:tc>
          <w:tcPr>
            <w:tcW w:w="1526" w:type="pct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Cs/>
                <w:sz w:val="24"/>
                <w:szCs w:val="21"/>
              </w:rPr>
              <w:t>3915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Cs/>
                <w:sz w:val="24"/>
                <w:szCs w:val="21"/>
              </w:rPr>
              <w:t>3000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Cs/>
                <w:sz w:val="24"/>
                <w:szCs w:val="21"/>
              </w:rPr>
              <w:t>1980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Cs/>
                <w:sz w:val="24"/>
                <w:szCs w:val="21"/>
              </w:rPr>
              <w:t>1320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Cs/>
                <w:sz w:val="24"/>
                <w:szCs w:val="21"/>
              </w:rPr>
              <w:t>855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Cs/>
                <w:sz w:val="24"/>
                <w:szCs w:val="21"/>
              </w:rPr>
              <w:t>600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1526" w:type="pct"/>
            <w:gridSpan w:val="2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/>
                <w:bCs/>
                <w:sz w:val="24"/>
                <w:szCs w:val="21"/>
              </w:rPr>
              <w:t>261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/>
                <w:bCs/>
                <w:sz w:val="24"/>
                <w:szCs w:val="21"/>
              </w:rPr>
              <w:t>200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/>
                <w:sz w:val="24"/>
                <w:szCs w:val="21"/>
              </w:rPr>
              <w:t>132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/>
                <w:sz w:val="24"/>
                <w:szCs w:val="21"/>
              </w:rPr>
              <w:t>88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/>
                <w:sz w:val="24"/>
                <w:szCs w:val="21"/>
              </w:rPr>
              <w:t>57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C4335A">
              <w:rPr>
                <w:rFonts w:ascii="Times New Roman" w:eastAsia="仿宋_GB2312" w:hAnsi="Times New Roman"/>
                <w:b/>
                <w:sz w:val="24"/>
                <w:szCs w:val="21"/>
              </w:rPr>
              <w:t>40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1526" w:type="pct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工业用地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210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155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1526" w:type="pct"/>
            <w:gridSpan w:val="2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14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10.33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1526" w:type="pct"/>
            <w:gridSpan w:val="2"/>
            <w:vMerge w:val="restart"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仓储用地</w:t>
            </w: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 w:hint="eastAsia"/>
                <w:color w:val="000000"/>
                <w:sz w:val="24"/>
                <w:szCs w:val="21"/>
              </w:rPr>
              <w:t>3</w:t>
            </w: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15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 w:hint="eastAsia"/>
                <w:color w:val="000000"/>
                <w:sz w:val="24"/>
                <w:szCs w:val="21"/>
              </w:rPr>
              <w:t>1</w:t>
            </w:r>
            <w:r w:rsidRPr="00C4335A">
              <w:rPr>
                <w:rFonts w:ascii="Times New Roman" w:hAnsi="Times New Roman"/>
                <w:color w:val="000000"/>
                <w:sz w:val="24"/>
                <w:szCs w:val="21"/>
              </w:rPr>
              <w:t>95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1526" w:type="pct"/>
            <w:gridSpan w:val="2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 w:hint="eastAsia"/>
                <w:b/>
                <w:color w:val="000000"/>
                <w:sz w:val="24"/>
                <w:szCs w:val="21"/>
              </w:rPr>
              <w:t>2</w:t>
            </w: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1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 w:hint="eastAsia"/>
                <w:b/>
                <w:color w:val="000000"/>
                <w:sz w:val="24"/>
                <w:szCs w:val="21"/>
              </w:rPr>
              <w:t>1</w:t>
            </w: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3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公共管理与公共服务用地</w:t>
            </w:r>
          </w:p>
        </w:tc>
        <w:tc>
          <w:tcPr>
            <w:tcW w:w="117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医疗卫生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用地、社会福利用地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1095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750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600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450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73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50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40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30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文化用地、体育用地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960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660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570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420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64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44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38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28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科研用地、教育用地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870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645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540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405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353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58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43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36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27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62"/>
          <w:jc w:val="center"/>
        </w:trPr>
        <w:tc>
          <w:tcPr>
            <w:tcW w:w="1526" w:type="pct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公用设施用地</w:t>
            </w:r>
          </w:p>
        </w:tc>
        <w:tc>
          <w:tcPr>
            <w:tcW w:w="6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</w:rPr>
              <w:t>/m</w:t>
            </w:r>
            <w:r w:rsidRPr="00C4335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  <w:t>450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  <w:t>390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360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330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335A" w:rsidTr="00C4335A">
        <w:trPr>
          <w:trHeight w:val="283"/>
          <w:jc w:val="center"/>
        </w:trPr>
        <w:tc>
          <w:tcPr>
            <w:tcW w:w="1526" w:type="pct"/>
            <w:gridSpan w:val="2"/>
            <w:vMerge/>
            <w:vAlign w:val="center"/>
          </w:tcPr>
          <w:p w:rsid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万元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C4335A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亩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30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kern w:val="0"/>
                <w:sz w:val="24"/>
                <w:szCs w:val="21"/>
              </w:rPr>
              <w:t>26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24</w:t>
            </w:r>
          </w:p>
        </w:tc>
        <w:tc>
          <w:tcPr>
            <w:tcW w:w="4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1"/>
              </w:rPr>
            </w:pPr>
            <w:r w:rsidRPr="00C4335A">
              <w:rPr>
                <w:rFonts w:ascii="Times New Roman" w:hAnsi="Times New Roman"/>
                <w:b/>
                <w:color w:val="000000"/>
                <w:sz w:val="24"/>
                <w:szCs w:val="21"/>
              </w:rPr>
              <w:t>22</w:t>
            </w:r>
          </w:p>
        </w:tc>
        <w:tc>
          <w:tcPr>
            <w:tcW w:w="4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335A" w:rsidRPr="00C4335A" w:rsidRDefault="00C4335A" w:rsidP="00C4335A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vAlign w:val="center"/>
          </w:tcPr>
          <w:p w:rsidR="00C4335A" w:rsidRPr="00C4335A" w:rsidRDefault="00C4335A" w:rsidP="00C4335A">
            <w:pPr>
              <w:jc w:val="center"/>
              <w:rPr>
                <w:b/>
              </w:rPr>
            </w:pPr>
            <w:r w:rsidRPr="00C4335A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-</w:t>
            </w:r>
            <w:r w:rsidRPr="00C4335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C45DA" w:rsidRPr="003D09B7" w:rsidRDefault="003D09B7" w:rsidP="003D09B7">
      <w:pPr>
        <w:spacing w:beforeLines="50" w:before="120"/>
        <w:jc w:val="left"/>
        <w:rPr>
          <w:rFonts w:ascii="Times New Roman" w:eastAsia="仿宋_GB2312" w:hAnsi="Times New Roman" w:cs="Times New Roman"/>
          <w:sz w:val="22"/>
        </w:rPr>
      </w:pPr>
      <w:r w:rsidRPr="003D09B7">
        <w:rPr>
          <w:rFonts w:ascii="Times New Roman" w:eastAsia="仿宋_GB2312" w:hAnsi="Times New Roman" w:cs="Times New Roman"/>
          <w:sz w:val="22"/>
        </w:rPr>
        <w:t>注：各用途各级别分布范围详见</w:t>
      </w:r>
      <w:r w:rsidRPr="003D09B7">
        <w:rPr>
          <w:rFonts w:ascii="Times New Roman" w:eastAsia="仿宋_GB2312" w:hAnsi="Times New Roman" w:cs="Times New Roman"/>
          <w:sz w:val="22"/>
        </w:rPr>
        <w:t>“</w:t>
      </w:r>
      <w:r w:rsidRPr="003D09B7">
        <w:rPr>
          <w:rFonts w:ascii="Times New Roman" w:eastAsia="仿宋_GB2312" w:hAnsi="Times New Roman" w:cs="Times New Roman"/>
          <w:sz w:val="22"/>
        </w:rPr>
        <w:t>宿州市城区土地</w:t>
      </w:r>
      <w:r>
        <w:rPr>
          <w:rFonts w:ascii="Times New Roman" w:eastAsia="仿宋_GB2312" w:hAnsi="Times New Roman" w:cs="Times New Roman" w:hint="eastAsia"/>
          <w:sz w:val="22"/>
        </w:rPr>
        <w:t>定级</w:t>
      </w:r>
      <w:r w:rsidRPr="003D09B7">
        <w:rPr>
          <w:rFonts w:ascii="Times New Roman" w:eastAsia="仿宋_GB2312" w:hAnsi="Times New Roman" w:cs="Times New Roman"/>
          <w:sz w:val="22"/>
        </w:rPr>
        <w:t>与基准地价更新成果图件</w:t>
      </w:r>
      <w:r w:rsidRPr="003D09B7">
        <w:rPr>
          <w:rFonts w:ascii="Times New Roman" w:eastAsia="仿宋_GB2312" w:hAnsi="Times New Roman" w:cs="Times New Roman"/>
          <w:sz w:val="22"/>
        </w:rPr>
        <w:t>”</w:t>
      </w:r>
      <w:r w:rsidRPr="003D09B7">
        <w:rPr>
          <w:rFonts w:ascii="Times New Roman" w:eastAsia="仿宋_GB2312" w:hAnsi="Times New Roman" w:cs="Times New Roman"/>
          <w:sz w:val="22"/>
        </w:rPr>
        <w:t>。</w:t>
      </w:r>
      <w:bookmarkStart w:id="0" w:name="_GoBack"/>
      <w:bookmarkEnd w:id="0"/>
    </w:p>
    <w:sectPr w:rsidR="00AC45DA" w:rsidRPr="003D09B7">
      <w:footerReference w:type="default" r:id="rId8"/>
      <w:pgSz w:w="11906" w:h="16838"/>
      <w:pgMar w:top="1440" w:right="1440" w:bottom="1440" w:left="1440" w:header="1247" w:footer="850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E4" w:rsidRDefault="003C3EE4">
      <w:r>
        <w:separator/>
      </w:r>
    </w:p>
  </w:endnote>
  <w:endnote w:type="continuationSeparator" w:id="0">
    <w:p w:rsidR="003C3EE4" w:rsidRDefault="003C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53995"/>
    </w:sdtPr>
    <w:sdtEndPr>
      <w:rPr>
        <w:rFonts w:ascii="Times New Roman" w:hAnsi="Times New Roman" w:cs="Times New Roman"/>
        <w:sz w:val="21"/>
        <w:szCs w:val="21"/>
      </w:rPr>
    </w:sdtEndPr>
    <w:sdtContent>
      <w:p w:rsidR="00AC45DA" w:rsidRDefault="003F341B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72B5E" w:rsidRPr="00772B5E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E4" w:rsidRDefault="003C3EE4">
      <w:r>
        <w:separator/>
      </w:r>
    </w:p>
  </w:footnote>
  <w:footnote w:type="continuationSeparator" w:id="0">
    <w:p w:rsidR="003C3EE4" w:rsidRDefault="003C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7C"/>
    <w:rsid w:val="00012C66"/>
    <w:rsid w:val="000201B5"/>
    <w:rsid w:val="000C22F7"/>
    <w:rsid w:val="000D777C"/>
    <w:rsid w:val="001335A8"/>
    <w:rsid w:val="00180160"/>
    <w:rsid w:val="001A4981"/>
    <w:rsid w:val="001D50B0"/>
    <w:rsid w:val="001E7D48"/>
    <w:rsid w:val="001F5F8F"/>
    <w:rsid w:val="00207A3D"/>
    <w:rsid w:val="002513E9"/>
    <w:rsid w:val="002563CE"/>
    <w:rsid w:val="002976C9"/>
    <w:rsid w:val="002A535F"/>
    <w:rsid w:val="002A6CF3"/>
    <w:rsid w:val="002B75B3"/>
    <w:rsid w:val="002D7992"/>
    <w:rsid w:val="00351208"/>
    <w:rsid w:val="00365CFB"/>
    <w:rsid w:val="00374181"/>
    <w:rsid w:val="00375F1F"/>
    <w:rsid w:val="003B4A56"/>
    <w:rsid w:val="003B6C03"/>
    <w:rsid w:val="003C3EE4"/>
    <w:rsid w:val="003D09B7"/>
    <w:rsid w:val="003F28E4"/>
    <w:rsid w:val="003F341B"/>
    <w:rsid w:val="00424697"/>
    <w:rsid w:val="00430F83"/>
    <w:rsid w:val="00453905"/>
    <w:rsid w:val="00471554"/>
    <w:rsid w:val="004C3F0E"/>
    <w:rsid w:val="005034D1"/>
    <w:rsid w:val="0057458D"/>
    <w:rsid w:val="00582DC7"/>
    <w:rsid w:val="005C63F1"/>
    <w:rsid w:val="005D78AE"/>
    <w:rsid w:val="006029C2"/>
    <w:rsid w:val="00607120"/>
    <w:rsid w:val="00694F03"/>
    <w:rsid w:val="006F63C6"/>
    <w:rsid w:val="007008E9"/>
    <w:rsid w:val="00754CD3"/>
    <w:rsid w:val="00757AD4"/>
    <w:rsid w:val="0076463E"/>
    <w:rsid w:val="00772B5E"/>
    <w:rsid w:val="00792641"/>
    <w:rsid w:val="007C17B3"/>
    <w:rsid w:val="007D1FAE"/>
    <w:rsid w:val="007F6B84"/>
    <w:rsid w:val="00814CD0"/>
    <w:rsid w:val="00830609"/>
    <w:rsid w:val="008462AB"/>
    <w:rsid w:val="00852DD8"/>
    <w:rsid w:val="00855A71"/>
    <w:rsid w:val="008649E9"/>
    <w:rsid w:val="00894D35"/>
    <w:rsid w:val="00896AC4"/>
    <w:rsid w:val="008D4722"/>
    <w:rsid w:val="00964E12"/>
    <w:rsid w:val="009F411E"/>
    <w:rsid w:val="009F6DFB"/>
    <w:rsid w:val="00A805AD"/>
    <w:rsid w:val="00AC45DA"/>
    <w:rsid w:val="00AD21D9"/>
    <w:rsid w:val="00AE1A23"/>
    <w:rsid w:val="00B174D4"/>
    <w:rsid w:val="00B5550F"/>
    <w:rsid w:val="00BD0F55"/>
    <w:rsid w:val="00C105EE"/>
    <w:rsid w:val="00C4335A"/>
    <w:rsid w:val="00C52C16"/>
    <w:rsid w:val="00C93DE0"/>
    <w:rsid w:val="00CD4058"/>
    <w:rsid w:val="00D01CE2"/>
    <w:rsid w:val="00D222AA"/>
    <w:rsid w:val="00D56D6A"/>
    <w:rsid w:val="00D85DC0"/>
    <w:rsid w:val="00DC0A73"/>
    <w:rsid w:val="00DD1BF5"/>
    <w:rsid w:val="00DE3A18"/>
    <w:rsid w:val="00E3228B"/>
    <w:rsid w:val="00E32620"/>
    <w:rsid w:val="00E33C79"/>
    <w:rsid w:val="00E3606C"/>
    <w:rsid w:val="00E868D6"/>
    <w:rsid w:val="00EA3D1F"/>
    <w:rsid w:val="00EF6CD6"/>
    <w:rsid w:val="00F404C1"/>
    <w:rsid w:val="00F540C1"/>
    <w:rsid w:val="00F80D53"/>
    <w:rsid w:val="00F856C6"/>
    <w:rsid w:val="00F876E0"/>
    <w:rsid w:val="00FA37C1"/>
    <w:rsid w:val="00FD5855"/>
    <w:rsid w:val="00FF5F95"/>
    <w:rsid w:val="069622FE"/>
    <w:rsid w:val="13A20852"/>
    <w:rsid w:val="15B900D5"/>
    <w:rsid w:val="1EB764FA"/>
    <w:rsid w:val="1EF74148"/>
    <w:rsid w:val="2F823B99"/>
    <w:rsid w:val="302F1268"/>
    <w:rsid w:val="3A1219DE"/>
    <w:rsid w:val="48FD1AAC"/>
    <w:rsid w:val="63F332F0"/>
    <w:rsid w:val="7A807CC3"/>
    <w:rsid w:val="7B2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1407B53-EEE7-4FD0-ACD0-95C4DD12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pPr>
      <w:widowControl/>
      <w:jc w:val="left"/>
    </w:pPr>
    <w:rPr>
      <w:rFonts w:ascii="宋体" w:eastAsia="宋体" w:hAnsi="Courier New" w:cs="宋体"/>
      <w:kern w:val="0"/>
      <w:sz w:val="24"/>
      <w:szCs w:val="21"/>
      <w:lang w:val="zh-CN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a">
    <w:name w:val="annotation reference"/>
    <w:rPr>
      <w:sz w:val="21"/>
      <w:szCs w:val="21"/>
    </w:rPr>
  </w:style>
  <w:style w:type="character" w:customStyle="1" w:styleId="ab">
    <w:name w:val="纯文本 字符"/>
    <w:basedOn w:val="a0"/>
    <w:qFormat/>
    <w:rPr>
      <w:rFonts w:asciiTheme="minorEastAsia" w:hAnsi="Courier New" w:cs="Courier New"/>
    </w:rPr>
  </w:style>
  <w:style w:type="character" w:customStyle="1" w:styleId="Char0">
    <w:name w:val="纯文本 Char"/>
    <w:link w:val="a4"/>
    <w:qFormat/>
    <w:rPr>
      <w:rFonts w:ascii="宋体" w:eastAsia="宋体" w:hAnsi="Courier New" w:cs="宋体"/>
      <w:kern w:val="0"/>
      <w:sz w:val="24"/>
      <w:szCs w:val="21"/>
      <w:lang w:val="zh-CN" w:eastAsia="zh-CN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批注文字 字符"/>
    <w:basedOn w:val="a0"/>
    <w:uiPriority w:val="99"/>
    <w:semiHidden/>
  </w:style>
  <w:style w:type="character" w:customStyle="1" w:styleId="Char">
    <w:name w:val="批注文字 Char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2">
    <w:name w:val="纯文本 字符2"/>
    <w:qFormat/>
    <w:rPr>
      <w:rFonts w:ascii="宋体" w:eastAsia="宋体" w:hAnsi="Courier New" w:cs="Courier New"/>
      <w:szCs w:val="21"/>
    </w:rPr>
  </w:style>
  <w:style w:type="paragraph" w:customStyle="1" w:styleId="ad">
    <w:name w:val="图表标注"/>
    <w:basedOn w:val="a8"/>
    <w:link w:val="ae"/>
    <w:qFormat/>
    <w:pPr>
      <w:adjustRightInd w:val="0"/>
      <w:snapToGrid w:val="0"/>
      <w:spacing w:before="0" w:after="0" w:line="480" w:lineRule="exact"/>
      <w:outlineLvl w:val="9"/>
    </w:pPr>
    <w:rPr>
      <w:rFonts w:ascii="Times New Roman" w:eastAsia="宋体" w:hAnsi="Times New Roman" w:cs="Times New Roman"/>
      <w:sz w:val="28"/>
    </w:rPr>
  </w:style>
  <w:style w:type="character" w:customStyle="1" w:styleId="ae">
    <w:name w:val="图表标注 字符"/>
    <w:basedOn w:val="a0"/>
    <w:link w:val="ad"/>
    <w:qFormat/>
    <w:rPr>
      <w:rFonts w:ascii="Times New Roman" w:eastAsia="宋体" w:hAnsi="Times New Roman" w:cs="Times New Roman"/>
      <w:b/>
      <w:bCs/>
      <w:kern w:val="28"/>
      <w:sz w:val="28"/>
      <w:szCs w:val="32"/>
    </w:rPr>
  </w:style>
  <w:style w:type="character" w:customStyle="1" w:styleId="Char4">
    <w:name w:val="副标题 Char"/>
    <w:basedOn w:val="a0"/>
    <w:link w:val="a8"/>
    <w:uiPriority w:val="11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6A4D1-A003-46F7-8A82-16658C7E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桂生</dc:creator>
  <cp:lastModifiedBy>WY</cp:lastModifiedBy>
  <cp:revision>25</cp:revision>
  <cp:lastPrinted>2021-01-11T03:05:00Z</cp:lastPrinted>
  <dcterms:created xsi:type="dcterms:W3CDTF">2024-07-12T05:41:00Z</dcterms:created>
  <dcterms:modified xsi:type="dcterms:W3CDTF">2025-12-01T01:42:00Z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eyJoZGlkIjoiMDBiNTllNjllYjM4ZjE1NWU2NDgxYTUxMjE2Y2Q3ZmEiLCJ1c2VySWQiOiI1NzE0MzMyNzEifQ==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F94F7D6A843743CFAE19548C3EA5B6CA_12</vt:lpwstr>
  </property>
</Properties>
</file>